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F0B" w:rsidRPr="00CD46C5" w:rsidRDefault="00A43205">
      <w:pPr>
        <w:rPr>
          <w:b/>
          <w:color w:val="17365D" w:themeColor="text2" w:themeShade="BF"/>
          <w:sz w:val="24"/>
          <w:szCs w:val="24"/>
        </w:rPr>
      </w:pPr>
      <w:r w:rsidRPr="00CD46C5">
        <w:rPr>
          <w:b/>
          <w:color w:val="17365D" w:themeColor="text2" w:themeShade="BF"/>
          <w:sz w:val="24"/>
          <w:szCs w:val="24"/>
        </w:rPr>
        <w:t>Liebe</w:t>
      </w:r>
      <w:r w:rsidR="009B21F7">
        <w:rPr>
          <w:b/>
          <w:color w:val="17365D" w:themeColor="text2" w:themeShade="BF"/>
          <w:sz w:val="24"/>
          <w:szCs w:val="24"/>
        </w:rPr>
        <w:t>/</w:t>
      </w:r>
      <w:r w:rsidRPr="00CD46C5">
        <w:rPr>
          <w:b/>
          <w:color w:val="17365D" w:themeColor="text2" w:themeShade="BF"/>
          <w:sz w:val="24"/>
          <w:szCs w:val="24"/>
        </w:rPr>
        <w:t>r Freund</w:t>
      </w:r>
      <w:r w:rsidR="009B21F7">
        <w:rPr>
          <w:b/>
          <w:color w:val="17365D" w:themeColor="text2" w:themeShade="BF"/>
          <w:sz w:val="24"/>
          <w:szCs w:val="24"/>
        </w:rPr>
        <w:t>/in</w:t>
      </w:r>
      <w:r w:rsidRPr="00CD46C5">
        <w:rPr>
          <w:b/>
          <w:color w:val="17365D" w:themeColor="text2" w:themeShade="BF"/>
          <w:sz w:val="24"/>
          <w:szCs w:val="24"/>
        </w:rPr>
        <w:t xml:space="preserve"> der virtuellen Eisenbahn,</w:t>
      </w:r>
    </w:p>
    <w:p w:rsidR="00A43205" w:rsidRDefault="00A43205" w:rsidP="00D07371">
      <w:pPr>
        <w:spacing w:after="0"/>
      </w:pPr>
      <w:r>
        <w:t>du hast</w:t>
      </w:r>
      <w:r w:rsidR="00170693">
        <w:t xml:space="preserve"> dir erfolgreich das</w:t>
      </w:r>
      <w:r w:rsidR="00D07371">
        <w:t xml:space="preserve"> dreiteilige</w:t>
      </w:r>
      <w:r w:rsidR="00170693">
        <w:t xml:space="preserve"> Szenario „</w:t>
      </w:r>
      <w:r w:rsidR="00D07371">
        <w:t xml:space="preserve">Post </w:t>
      </w:r>
      <w:proofErr w:type="spellStart"/>
      <w:r w:rsidR="00D07371">
        <w:t>Beeching</w:t>
      </w:r>
      <w:proofErr w:type="spellEnd"/>
      <w:r w:rsidR="00D07371">
        <w:t xml:space="preserve"> </w:t>
      </w:r>
      <w:proofErr w:type="spellStart"/>
      <w:r w:rsidR="00D07371">
        <w:t>Operations</w:t>
      </w:r>
      <w:proofErr w:type="spellEnd"/>
      <w:r w:rsidR="00170693">
        <w:t>“</w:t>
      </w:r>
      <w:r>
        <w:t xml:space="preserve"> heruntergeladen. Um es spielen zu können, musst du nur die im Ordner befindliche</w:t>
      </w:r>
      <w:r w:rsidR="00D07371">
        <w:t>n</w:t>
      </w:r>
      <w:r>
        <w:t xml:space="preserve"> .</w:t>
      </w:r>
      <w:proofErr w:type="spellStart"/>
      <w:r>
        <w:t>rwp</w:t>
      </w:r>
      <w:proofErr w:type="spellEnd"/>
      <w:r>
        <w:t>-Datei</w:t>
      </w:r>
      <w:r w:rsidR="00D07371">
        <w:t>en</w:t>
      </w:r>
      <w:r>
        <w:t xml:space="preserve"> mit dem Utilities-Programm des Train Simulators installieren. </w:t>
      </w:r>
      <w:r w:rsidR="004478CF">
        <w:t xml:space="preserve">Falls du nicht weißt wie das funktioniert, schau mal hier nach: </w:t>
      </w:r>
      <w:hyperlink r:id="rId7" w:history="1">
        <w:r w:rsidR="00E90551" w:rsidRPr="00A27309">
          <w:rPr>
            <w:rStyle w:val="Hyperlink"/>
          </w:rPr>
          <w:t>http://rail-sim.de/wiki/index.php/Paket_Manager</w:t>
        </w:r>
      </w:hyperlink>
    </w:p>
    <w:p w:rsidR="004478CF" w:rsidRDefault="004478CF">
      <w:r>
        <w:t xml:space="preserve">Damit </w:t>
      </w:r>
      <w:r w:rsidR="00F422E4">
        <w:t>meine Szenarios</w:t>
      </w:r>
      <w:r>
        <w:t xml:space="preserve"> im Spiel immer leicht zu finden ist, habe ich dem Szenarionamen das Kürzel [EM] vorangestellt.</w:t>
      </w:r>
    </w:p>
    <w:p w:rsidR="00A43205" w:rsidRDefault="00A43205">
      <w:r>
        <w:t>Um das Szenario ordnungsgemäß spielen zu können, müssen die folgenden AddOns installiert sein:</w:t>
      </w:r>
    </w:p>
    <w:p w:rsidR="00A43205" w:rsidRPr="00D5306B" w:rsidRDefault="001850EA" w:rsidP="00174A59">
      <w:pPr>
        <w:pStyle w:val="Listenabsatz"/>
        <w:numPr>
          <w:ilvl w:val="0"/>
          <w:numId w:val="2"/>
        </w:numPr>
        <w:rPr>
          <w:lang w:val="en-US"/>
        </w:rPr>
      </w:pPr>
      <w:hyperlink r:id="rId8" w:history="1">
        <w:r w:rsidR="00D5306B" w:rsidRPr="00D5306B">
          <w:rPr>
            <w:rStyle w:val="Hyperlink"/>
            <w:lang w:val="en-US"/>
          </w:rPr>
          <w:t xml:space="preserve">[DTG] </w:t>
        </w:r>
        <w:r w:rsidR="00715E3A" w:rsidRPr="00D5306B">
          <w:rPr>
            <w:rStyle w:val="Hyperlink"/>
            <w:lang w:val="en-US"/>
          </w:rPr>
          <w:t>Western Lines of Scotland</w:t>
        </w:r>
      </w:hyperlink>
    </w:p>
    <w:p w:rsidR="00174A59" w:rsidRDefault="001850EA" w:rsidP="00174A59">
      <w:pPr>
        <w:pStyle w:val="Listenabsatz"/>
        <w:numPr>
          <w:ilvl w:val="0"/>
          <w:numId w:val="2"/>
        </w:numPr>
      </w:pPr>
      <w:hyperlink r:id="rId9" w:history="1">
        <w:r w:rsidR="00D5306B" w:rsidRPr="00D5306B">
          <w:rPr>
            <w:rStyle w:val="Hyperlink"/>
          </w:rPr>
          <w:t xml:space="preserve">[DTG] </w:t>
        </w:r>
        <w:r w:rsidR="00715E3A" w:rsidRPr="00D5306B">
          <w:rPr>
            <w:rStyle w:val="Hyperlink"/>
          </w:rPr>
          <w:t>Class 33</w:t>
        </w:r>
      </w:hyperlink>
    </w:p>
    <w:p w:rsidR="00174A59" w:rsidRDefault="001850EA" w:rsidP="00174A59">
      <w:pPr>
        <w:pStyle w:val="Listenabsatz"/>
        <w:numPr>
          <w:ilvl w:val="0"/>
          <w:numId w:val="2"/>
        </w:numPr>
      </w:pPr>
      <w:hyperlink r:id="rId10" w:history="1">
        <w:r w:rsidR="00D5306B" w:rsidRPr="00D5306B">
          <w:rPr>
            <w:rStyle w:val="Hyperlink"/>
          </w:rPr>
          <w:t xml:space="preserve">[JT] </w:t>
        </w:r>
        <w:r w:rsidR="00715E3A" w:rsidRPr="00D5306B">
          <w:rPr>
            <w:rStyle w:val="Hyperlink"/>
          </w:rPr>
          <w:t xml:space="preserve">Class 20 </w:t>
        </w:r>
        <w:proofErr w:type="spellStart"/>
        <w:r w:rsidR="00715E3A" w:rsidRPr="00D5306B">
          <w:rPr>
            <w:rStyle w:val="Hyperlink"/>
          </w:rPr>
          <w:t>Advanced</w:t>
        </w:r>
        <w:proofErr w:type="spellEnd"/>
      </w:hyperlink>
    </w:p>
    <w:p w:rsidR="00715E3A" w:rsidRPr="00D5306B" w:rsidRDefault="001850EA" w:rsidP="00174A59">
      <w:pPr>
        <w:pStyle w:val="Listenabsatz"/>
        <w:numPr>
          <w:ilvl w:val="0"/>
          <w:numId w:val="2"/>
        </w:numPr>
        <w:rPr>
          <w:lang w:val="en-US"/>
        </w:rPr>
      </w:pPr>
      <w:hyperlink r:id="rId11" w:history="1">
        <w:r w:rsidR="00D5306B" w:rsidRPr="00D5306B">
          <w:rPr>
            <w:rStyle w:val="Hyperlink"/>
            <w:lang w:val="en-US"/>
          </w:rPr>
          <w:t xml:space="preserve">[JT] </w:t>
        </w:r>
        <w:r w:rsidR="00715E3A" w:rsidRPr="00D5306B">
          <w:rPr>
            <w:rStyle w:val="Hyperlink"/>
            <w:lang w:val="en-US"/>
          </w:rPr>
          <w:t>4MT Advanced</w:t>
        </w:r>
        <w:r w:rsidR="00D5306B" w:rsidRPr="00D5306B">
          <w:rPr>
            <w:rStyle w:val="Hyperlink"/>
            <w:lang w:val="en-US"/>
          </w:rPr>
          <w:t xml:space="preserve"> + Mk1 </w:t>
        </w:r>
        <w:proofErr w:type="spellStart"/>
        <w:r w:rsidR="00D5306B" w:rsidRPr="00D5306B">
          <w:rPr>
            <w:rStyle w:val="Hyperlink"/>
            <w:lang w:val="en-US"/>
          </w:rPr>
          <w:t>Wagen</w:t>
        </w:r>
        <w:proofErr w:type="spellEnd"/>
      </w:hyperlink>
    </w:p>
    <w:p w:rsidR="00715E3A" w:rsidRDefault="001850EA" w:rsidP="00174A59">
      <w:pPr>
        <w:pStyle w:val="Listenabsatz"/>
        <w:numPr>
          <w:ilvl w:val="0"/>
          <w:numId w:val="2"/>
        </w:numPr>
      </w:pPr>
      <w:hyperlink r:id="rId12" w:history="1">
        <w:r w:rsidR="00D5306B" w:rsidRPr="00D5306B">
          <w:rPr>
            <w:rStyle w:val="Hyperlink"/>
          </w:rPr>
          <w:t xml:space="preserve">[DT] </w:t>
        </w:r>
        <w:r w:rsidR="00715E3A" w:rsidRPr="00D5306B">
          <w:rPr>
            <w:rStyle w:val="Hyperlink"/>
          </w:rPr>
          <w:t>Mk2e Wagen</w:t>
        </w:r>
      </w:hyperlink>
    </w:p>
    <w:p w:rsidR="00C008E1" w:rsidRDefault="00C008E1" w:rsidP="00174A59">
      <w:pPr>
        <w:pStyle w:val="Listenabsatz"/>
        <w:numPr>
          <w:ilvl w:val="0"/>
          <w:numId w:val="2"/>
        </w:numPr>
      </w:pPr>
      <w:r>
        <w:t xml:space="preserve">Für das Bonusszenario wird zusätzlich die </w:t>
      </w:r>
      <w:hyperlink r:id="rId13" w:history="1">
        <w:r w:rsidRPr="00C008E1">
          <w:rPr>
            <w:rStyle w:val="Hyperlink"/>
          </w:rPr>
          <w:t xml:space="preserve">Class 101 (Regional </w:t>
        </w:r>
        <w:proofErr w:type="spellStart"/>
        <w:r w:rsidRPr="00C008E1">
          <w:rPr>
            <w:rStyle w:val="Hyperlink"/>
          </w:rPr>
          <w:t>Railways</w:t>
        </w:r>
        <w:proofErr w:type="spellEnd"/>
        <w:r w:rsidRPr="00C008E1">
          <w:rPr>
            <w:rStyle w:val="Hyperlink"/>
          </w:rPr>
          <w:t>)</w:t>
        </w:r>
      </w:hyperlink>
      <w:r>
        <w:t xml:space="preserve"> benötigt.</w:t>
      </w:r>
    </w:p>
    <w:p w:rsidR="00A43205" w:rsidRDefault="00A43205">
      <w:r>
        <w:t>Fehlt eines dieser AddOns, kann es zu einer Fehlermeldung am Beginn des Szenarios kommen oder es werden eventuell Objekte nicht angezeigt.</w:t>
      </w:r>
    </w:p>
    <w:p w:rsidR="00A43205" w:rsidRDefault="00A43205"/>
    <w:p w:rsidR="00A43205" w:rsidRPr="003A4D50" w:rsidRDefault="00A43205">
      <w:pPr>
        <w:rPr>
          <w:b/>
        </w:rPr>
      </w:pPr>
      <w:r w:rsidRPr="003A4D50">
        <w:rPr>
          <w:b/>
        </w:rPr>
        <w:t>Ausführliche Szenariobeschreibung:</w:t>
      </w:r>
    </w:p>
    <w:p w:rsidR="004478CF" w:rsidRDefault="00F17F4C">
      <w:r>
        <w:t>Es ist September 1969 und entgegen der Realität hat die Port Road die „</w:t>
      </w:r>
      <w:proofErr w:type="spellStart"/>
      <w:r>
        <w:t>Beeching</w:t>
      </w:r>
      <w:proofErr w:type="spellEnd"/>
      <w:r>
        <w:t xml:space="preserve"> </w:t>
      </w:r>
      <w:proofErr w:type="spellStart"/>
      <w:r>
        <w:t>Axe</w:t>
      </w:r>
      <w:proofErr w:type="spellEnd"/>
      <w:r>
        <w:t>“ überstanden. Ausschlaggebend hierfür waren massive Proteste der Anwohner und vor allem der örtlichen Industrie, aber auch der zunehmende Tourismus in der Region, so dass die Port Road schließlich als zu bedeutend angesehen und somit vom Programm ausgenommen wurde.</w:t>
      </w:r>
    </w:p>
    <w:p w:rsidR="00F17F4C" w:rsidRDefault="00F17F4C">
      <w:r>
        <w:t xml:space="preserve">In den letzten Jahren gab es dennoch einige bedeutende Änderungen. So führte British </w:t>
      </w:r>
      <w:proofErr w:type="spellStart"/>
      <w:r>
        <w:t>Rail</w:t>
      </w:r>
      <w:proofErr w:type="spellEnd"/>
      <w:r>
        <w:t xml:space="preserve"> Mitte der 60er Jahre das neue blau-graue Farbschema ein, welches nun vorherrschend ist. Einige Loks und Wagen tragen allerdings noch ihr </w:t>
      </w:r>
      <w:r w:rsidR="00164504">
        <w:t>altes</w:t>
      </w:r>
      <w:r>
        <w:t xml:space="preserve"> Farbkleid. Weiterhin traf die Bahnverwaltung eine folgenschwere Entscheidung: Die Class 27 Lokomotiven </w:t>
      </w:r>
      <w:r w:rsidR="004E25D8">
        <w:t xml:space="preserve">sollten zu Gunsten von Class 33 Loks weichen und wurden bereits in ihre neuen Einsatzgebiete überführt. Doch es gab nicht genug </w:t>
      </w:r>
      <w:r w:rsidR="00E44E97">
        <w:t xml:space="preserve">neue </w:t>
      </w:r>
      <w:r w:rsidR="004E25D8">
        <w:t>33er und s</w:t>
      </w:r>
      <w:r w:rsidR="00E44E97">
        <w:t>o</w:t>
      </w:r>
      <w:r w:rsidR="004E25D8">
        <w:t xml:space="preserve"> </w:t>
      </w:r>
      <w:r w:rsidR="00E44E97">
        <w:t>entstand</w:t>
      </w:r>
      <w:r w:rsidR="004E25D8">
        <w:t xml:space="preserve"> </w:t>
      </w:r>
      <w:r w:rsidR="00E44E97">
        <w:t>ein eklatanter</w:t>
      </w:r>
      <w:r w:rsidR="004E25D8">
        <w:t xml:space="preserve"> Mangel an Loks. Bis wieder eine größere Menge an 27ern für die Port Road verfügbar ist, müssen die guten, alten Dampfrösser, die eigentlich im Vorjahr ausgemustert werden sollten, viele Dienste übernehmen. Zu guter Letzt wurde noch Personal entlassen und es herrscht Lokführermangel. „Hauptsache, die Bilanz stimmt!“</w:t>
      </w:r>
    </w:p>
    <w:p w:rsidR="004E25D8" w:rsidRDefault="00AF3633">
      <w:r>
        <w:t xml:space="preserve">Nun zu Ihrer Aufgabe: Sie fahren einen Express von </w:t>
      </w:r>
      <w:proofErr w:type="spellStart"/>
      <w:r>
        <w:t>Carlisle</w:t>
      </w:r>
      <w:proofErr w:type="spellEnd"/>
      <w:r>
        <w:t xml:space="preserve"> nach </w:t>
      </w:r>
      <w:proofErr w:type="spellStart"/>
      <w:r>
        <w:t>Kirkcudbright</w:t>
      </w:r>
      <w:proofErr w:type="spellEnd"/>
      <w:r>
        <w:t>, wo Sie Feierabend machen dürfen. Doch zunächst müssen Sie Ihren Zug zusammenstellen, was eigentlich nicht in Ihren Aufgabenbereich fällt. Aber gut, da müssen Sie</w:t>
      </w:r>
      <w:r w:rsidR="00164504">
        <w:t xml:space="preserve"> jetzt</w:t>
      </w:r>
      <w:r>
        <w:t xml:space="preserve"> durch</w:t>
      </w:r>
      <w:r w:rsidR="00164504">
        <w:t>!</w:t>
      </w:r>
      <w:r>
        <w:t xml:space="preserve"> Melden Sie sich in </w:t>
      </w:r>
      <w:proofErr w:type="spellStart"/>
      <w:r>
        <w:t>Currock</w:t>
      </w:r>
      <w:proofErr w:type="spellEnd"/>
      <w:r>
        <w:t xml:space="preserve"> zum Dienst. Dort werden Sie Anweisungen erhalten. Die Hauptsache ist, Sie stehen um 19 Uhr abfahrbereit im Bahnhof. Planmäßige Abfahrt ist um 19:03 Uhr und Sie halten in </w:t>
      </w:r>
      <w:proofErr w:type="spellStart"/>
      <w:r>
        <w:t>Eastriggs</w:t>
      </w:r>
      <w:proofErr w:type="spellEnd"/>
      <w:r>
        <w:t xml:space="preserve">, Annan, </w:t>
      </w:r>
      <w:proofErr w:type="spellStart"/>
      <w:r>
        <w:t>Dumfries</w:t>
      </w:r>
      <w:proofErr w:type="spellEnd"/>
      <w:r>
        <w:t xml:space="preserve">, </w:t>
      </w:r>
      <w:proofErr w:type="spellStart"/>
      <w:r>
        <w:t>Dalbeattie</w:t>
      </w:r>
      <w:proofErr w:type="spellEnd"/>
      <w:r>
        <w:t xml:space="preserve">, Castle Douglas und schließlich in </w:t>
      </w:r>
      <w:proofErr w:type="spellStart"/>
      <w:r>
        <w:t>Kirkcudbright</w:t>
      </w:r>
      <w:proofErr w:type="spellEnd"/>
      <w:r>
        <w:t>. Verkehrstechnisch sollte Ihnen dabei nichts im Wege stehen. Gute Fahrt!</w:t>
      </w:r>
    </w:p>
    <w:p w:rsidR="004965A1" w:rsidRPr="00684584" w:rsidRDefault="004965A1">
      <w:r>
        <w:rPr>
          <w:b/>
          <w:color w:val="C00000"/>
        </w:rPr>
        <w:t>HINWEIS:</w:t>
      </w:r>
      <w:r w:rsidR="00684584">
        <w:rPr>
          <w:b/>
          <w:color w:val="C00000"/>
        </w:rPr>
        <w:t xml:space="preserve"> </w:t>
      </w:r>
      <w:r w:rsidR="00684584">
        <w:t>Die Szenarien sind komplett in Englisch.</w:t>
      </w:r>
    </w:p>
    <w:p w:rsidR="004478CF" w:rsidRDefault="004478CF"/>
    <w:p w:rsidR="004478CF" w:rsidRDefault="004478CF">
      <w:r>
        <w:t>Viel Spaß mit dem Szenario wünscht</w:t>
      </w:r>
    </w:p>
    <w:p w:rsidR="004478CF" w:rsidRDefault="004478CF">
      <w:pPr>
        <w:rPr>
          <w:rFonts w:ascii="Lucida Handwriting" w:hAnsi="Lucida Handwriting"/>
          <w:color w:val="17365D" w:themeColor="text2" w:themeShade="BF"/>
        </w:rPr>
      </w:pPr>
      <w:proofErr w:type="spellStart"/>
      <w:r w:rsidRPr="004478CF">
        <w:rPr>
          <w:rFonts w:ascii="Lucida Handwriting" w:hAnsi="Lucida Handwriting"/>
          <w:color w:val="17365D" w:themeColor="text2" w:themeShade="BF"/>
        </w:rPr>
        <w:t>einMonster</w:t>
      </w:r>
      <w:proofErr w:type="spellEnd"/>
    </w:p>
    <w:p w:rsidR="00C704B2" w:rsidRDefault="00C704B2"/>
    <w:p w:rsidR="004478CF" w:rsidRDefault="00E44E97" w:rsidP="00504353">
      <w:pPr>
        <w:jc w:val="center"/>
      </w:pPr>
      <w:r>
        <w:rPr>
          <w:noProof/>
          <w:lang w:eastAsia="de-DE"/>
        </w:rPr>
        <w:drawing>
          <wp:inline distT="0" distB="0" distL="0" distR="0">
            <wp:extent cx="3657600" cy="2926080"/>
            <wp:effectExtent l="19050" t="0" r="0" b="0"/>
            <wp:docPr id="1" name="Bild 1" descr="C:\Program Files (x86)\Steam\userdata\85582213\760\remote\24010\screenshots\[EM] öffentliche Szenarien\Post Beeching Operations\in Dentonhol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Steam\userdata\85582213\760\remote\24010\screenshots\[EM] öffentliche Szenarien\Post Beeching Operations\in Dentonholme.jpg"/>
                    <pic:cNvPicPr>
                      <a:picLocks noChangeAspect="1" noChangeArrowheads="1"/>
                    </pic:cNvPicPr>
                  </pic:nvPicPr>
                  <pic:blipFill>
                    <a:blip r:embed="rId14" cstate="print"/>
                    <a:srcRect/>
                    <a:stretch>
                      <a:fillRect/>
                    </a:stretch>
                  </pic:blipFill>
                  <pic:spPr bwMode="auto">
                    <a:xfrm>
                      <a:off x="0" y="0"/>
                      <a:ext cx="3657600" cy="2926080"/>
                    </a:xfrm>
                    <a:prstGeom prst="rect">
                      <a:avLst/>
                    </a:prstGeom>
                    <a:noFill/>
                    <a:ln w="9525">
                      <a:noFill/>
                      <a:miter lim="800000"/>
                      <a:headEnd/>
                      <a:tailEnd/>
                    </a:ln>
                  </pic:spPr>
                </pic:pic>
              </a:graphicData>
            </a:graphic>
          </wp:inline>
        </w:drawing>
      </w:r>
    </w:p>
    <w:p w:rsidR="00E44E97" w:rsidRDefault="00E44E97" w:rsidP="00504353">
      <w:pPr>
        <w:jc w:val="center"/>
      </w:pPr>
    </w:p>
    <w:p w:rsidR="00E44E97" w:rsidRDefault="00E44E97" w:rsidP="00504353">
      <w:pPr>
        <w:jc w:val="center"/>
      </w:pPr>
      <w:r>
        <w:rPr>
          <w:noProof/>
          <w:lang w:eastAsia="de-DE"/>
        </w:rPr>
        <w:drawing>
          <wp:inline distT="0" distB="0" distL="0" distR="0">
            <wp:extent cx="3657600" cy="2926080"/>
            <wp:effectExtent l="19050" t="0" r="0" b="0"/>
            <wp:docPr id="2" name="Bild 2" descr="C:\Program Files (x86)\Steam\userdata\85582213\760\remote\24010\screenshots\[EM] öffentliche Szenarien\Post Beeching Operations\Class 33 Mee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Steam\userdata\85582213\760\remote\24010\screenshots\[EM] öffentliche Szenarien\Post Beeching Operations\Class 33 Meeting.jpg"/>
                    <pic:cNvPicPr>
                      <a:picLocks noChangeAspect="1" noChangeArrowheads="1"/>
                    </pic:cNvPicPr>
                  </pic:nvPicPr>
                  <pic:blipFill>
                    <a:blip r:embed="rId15" cstate="print"/>
                    <a:srcRect/>
                    <a:stretch>
                      <a:fillRect/>
                    </a:stretch>
                  </pic:blipFill>
                  <pic:spPr bwMode="auto">
                    <a:xfrm>
                      <a:off x="0" y="0"/>
                      <a:ext cx="3657600" cy="2926080"/>
                    </a:xfrm>
                    <a:prstGeom prst="rect">
                      <a:avLst/>
                    </a:prstGeom>
                    <a:noFill/>
                    <a:ln w="9525">
                      <a:noFill/>
                      <a:miter lim="800000"/>
                      <a:headEnd/>
                      <a:tailEnd/>
                    </a:ln>
                  </pic:spPr>
                </pic:pic>
              </a:graphicData>
            </a:graphic>
          </wp:inline>
        </w:drawing>
      </w:r>
    </w:p>
    <w:p w:rsidR="00C704B2" w:rsidRDefault="00C704B2"/>
    <w:p w:rsidR="00C704B2" w:rsidRDefault="00C704B2" w:rsidP="00504353">
      <w:pPr>
        <w:jc w:val="center"/>
      </w:pPr>
      <w:r>
        <w:t xml:space="preserve">Fragen, Probleme, Lob, Kritik und Verbesserungsvorschläge können </w:t>
      </w:r>
      <w:hyperlink r:id="rId16" w:history="1">
        <w:r w:rsidRPr="00AD3040">
          <w:rPr>
            <w:rStyle w:val="Hyperlink"/>
          </w:rPr>
          <w:t>hier</w:t>
        </w:r>
      </w:hyperlink>
      <w:r>
        <w:t xml:space="preserve"> gepostet werden</w:t>
      </w:r>
      <w:r w:rsidR="00AD3040">
        <w:t>.</w:t>
      </w:r>
    </w:p>
    <w:sectPr w:rsidR="00C704B2" w:rsidSect="00ED2F0B">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8CD" w:rsidRDefault="00F918CD" w:rsidP="00CD46C5">
      <w:pPr>
        <w:spacing w:after="0" w:line="240" w:lineRule="auto"/>
      </w:pPr>
      <w:r>
        <w:separator/>
      </w:r>
    </w:p>
  </w:endnote>
  <w:endnote w:type="continuationSeparator" w:id="0">
    <w:p w:rsidR="00F918CD" w:rsidRDefault="00F918CD" w:rsidP="00CD4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ED" w:rsidRDefault="006F60ED">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6C5" w:rsidRDefault="001850EA">
    <w:pPr>
      <w:pStyle w:val="Fuzeile"/>
    </w:pPr>
    <w:sdt>
      <w:sdtPr>
        <w:id w:val="2391563"/>
        <w:docPartObj>
          <w:docPartGallery w:val="Page Numbers (Bottom of Page)"/>
          <w:docPartUnique/>
        </w:docPartObj>
      </w:sdtPr>
      <w:sdtContent>
        <w:r w:rsidRPr="001850EA">
          <w:rPr>
            <w:rFonts w:asciiTheme="majorHAnsi" w:hAnsiTheme="majorHAnsi"/>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50" type="#_x0000_t107" style="position:absolute;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2050">
                <w:txbxContent>
                  <w:p w:rsidR="00CD46C5" w:rsidRDefault="001850EA">
                    <w:pPr>
                      <w:jc w:val="center"/>
                      <w:rPr>
                        <w:color w:val="4F81BD" w:themeColor="accent1"/>
                      </w:rPr>
                    </w:pPr>
                    <w:fldSimple w:instr=" PAGE    \* MERGEFORMAT ">
                      <w:r w:rsidR="00C008E1" w:rsidRPr="00C008E1">
                        <w:rPr>
                          <w:noProof/>
                          <w:color w:val="4F81BD" w:themeColor="accent1"/>
                        </w:rPr>
                        <w:t>2</w:t>
                      </w:r>
                    </w:fldSimple>
                  </w:p>
                </w:txbxContent>
              </v:textbox>
              <w10:wrap anchorx="margin" anchory="page"/>
            </v:shape>
          </w:pict>
        </w:r>
      </w:sdtContent>
    </w:sdt>
    <w:r w:rsidR="006F60ED">
      <w:t>Version 1.0</w:t>
    </w:r>
    <w:r w:rsidR="00CD46C5">
      <w:tab/>
    </w:r>
    <w:r w:rsidR="00CD46C5">
      <w:tab/>
    </w:r>
    <w:r w:rsidR="00CD46C5" w:rsidRPr="003B2E3E">
      <w:rPr>
        <w:i/>
      </w:rPr>
      <w:t>©</w:t>
    </w:r>
    <w:r w:rsidR="003B2E3E" w:rsidRPr="003B2E3E">
      <w:rPr>
        <w:i/>
      </w:rPr>
      <w:t xml:space="preserve"> </w:t>
    </w:r>
    <w:proofErr w:type="spellStart"/>
    <w:r w:rsidR="00CD46C5" w:rsidRPr="003B2E3E">
      <w:rPr>
        <w:i/>
      </w:rPr>
      <w:t>einMonster</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ED" w:rsidRDefault="006F60E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8CD" w:rsidRDefault="00F918CD" w:rsidP="00CD46C5">
      <w:pPr>
        <w:spacing w:after="0" w:line="240" w:lineRule="auto"/>
      </w:pPr>
      <w:r>
        <w:separator/>
      </w:r>
    </w:p>
  </w:footnote>
  <w:footnote w:type="continuationSeparator" w:id="0">
    <w:p w:rsidR="00F918CD" w:rsidRDefault="00F918CD" w:rsidP="00CD46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ED" w:rsidRDefault="006F60ED">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ED" w:rsidRDefault="006F60ED">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ED" w:rsidRDefault="006F60ED">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1612C"/>
    <w:multiLevelType w:val="hybridMultilevel"/>
    <w:tmpl w:val="A51E1818"/>
    <w:lvl w:ilvl="0" w:tplc="CF50BCB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ABB5361"/>
    <w:multiLevelType w:val="hybridMultilevel"/>
    <w:tmpl w:val="F61E77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rsids>
    <w:rsidRoot w:val="00A43205"/>
    <w:rsid w:val="0007744C"/>
    <w:rsid w:val="000934F7"/>
    <w:rsid w:val="00105111"/>
    <w:rsid w:val="00164504"/>
    <w:rsid w:val="00170693"/>
    <w:rsid w:val="00174A59"/>
    <w:rsid w:val="001850EA"/>
    <w:rsid w:val="002111F1"/>
    <w:rsid w:val="00235827"/>
    <w:rsid w:val="002369B1"/>
    <w:rsid w:val="003266D5"/>
    <w:rsid w:val="00335091"/>
    <w:rsid w:val="00357694"/>
    <w:rsid w:val="003A4D50"/>
    <w:rsid w:val="003B2E3E"/>
    <w:rsid w:val="004478CF"/>
    <w:rsid w:val="004528BC"/>
    <w:rsid w:val="00477086"/>
    <w:rsid w:val="004965A1"/>
    <w:rsid w:val="004E25D8"/>
    <w:rsid w:val="00504353"/>
    <w:rsid w:val="005A4D4C"/>
    <w:rsid w:val="005F2AB6"/>
    <w:rsid w:val="00611344"/>
    <w:rsid w:val="00684584"/>
    <w:rsid w:val="006F60ED"/>
    <w:rsid w:val="00712AB8"/>
    <w:rsid w:val="00715E3A"/>
    <w:rsid w:val="00776360"/>
    <w:rsid w:val="007B0D0E"/>
    <w:rsid w:val="00894A23"/>
    <w:rsid w:val="008A291D"/>
    <w:rsid w:val="009209D9"/>
    <w:rsid w:val="009639B2"/>
    <w:rsid w:val="009B21F7"/>
    <w:rsid w:val="00A43205"/>
    <w:rsid w:val="00A73B84"/>
    <w:rsid w:val="00AD3040"/>
    <w:rsid w:val="00AF3633"/>
    <w:rsid w:val="00B11D86"/>
    <w:rsid w:val="00BB1616"/>
    <w:rsid w:val="00C008E1"/>
    <w:rsid w:val="00C15720"/>
    <w:rsid w:val="00C3405D"/>
    <w:rsid w:val="00C37DB0"/>
    <w:rsid w:val="00C704B2"/>
    <w:rsid w:val="00CC1891"/>
    <w:rsid w:val="00CD46C5"/>
    <w:rsid w:val="00D01F7E"/>
    <w:rsid w:val="00D07371"/>
    <w:rsid w:val="00D47C8E"/>
    <w:rsid w:val="00D5306B"/>
    <w:rsid w:val="00D766B7"/>
    <w:rsid w:val="00DB6052"/>
    <w:rsid w:val="00E04428"/>
    <w:rsid w:val="00E44E97"/>
    <w:rsid w:val="00E90551"/>
    <w:rsid w:val="00ED2F0B"/>
    <w:rsid w:val="00F17F4C"/>
    <w:rsid w:val="00F2105A"/>
    <w:rsid w:val="00F422E4"/>
    <w:rsid w:val="00F918CD"/>
    <w:rsid w:val="00F947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2F0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0551"/>
    <w:rPr>
      <w:color w:val="0000FF" w:themeColor="hyperlink"/>
      <w:u w:val="single"/>
    </w:rPr>
  </w:style>
  <w:style w:type="paragraph" w:styleId="Kopfzeile">
    <w:name w:val="header"/>
    <w:basedOn w:val="Standard"/>
    <w:link w:val="KopfzeileZchn"/>
    <w:uiPriority w:val="99"/>
    <w:semiHidden/>
    <w:unhideWhenUsed/>
    <w:rsid w:val="00CD46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D46C5"/>
  </w:style>
  <w:style w:type="paragraph" w:styleId="Fuzeile">
    <w:name w:val="footer"/>
    <w:basedOn w:val="Standard"/>
    <w:link w:val="FuzeileZchn"/>
    <w:uiPriority w:val="99"/>
    <w:unhideWhenUsed/>
    <w:rsid w:val="00CD46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46C5"/>
  </w:style>
  <w:style w:type="paragraph" w:styleId="Sprechblasentext">
    <w:name w:val="Balloon Text"/>
    <w:basedOn w:val="Standard"/>
    <w:link w:val="SprechblasentextZchn"/>
    <w:uiPriority w:val="99"/>
    <w:semiHidden/>
    <w:unhideWhenUsed/>
    <w:rsid w:val="00CD46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46C5"/>
    <w:rPr>
      <w:rFonts w:ascii="Tahoma" w:hAnsi="Tahoma" w:cs="Tahoma"/>
      <w:sz w:val="16"/>
      <w:szCs w:val="16"/>
    </w:rPr>
  </w:style>
  <w:style w:type="paragraph" w:styleId="Listenabsatz">
    <w:name w:val="List Paragraph"/>
    <w:basedOn w:val="Standard"/>
    <w:uiPriority w:val="34"/>
    <w:qFormat/>
    <w:rsid w:val="00C704B2"/>
    <w:pPr>
      <w:ind w:left="720"/>
      <w:contextualSpacing/>
    </w:pPr>
  </w:style>
  <w:style w:type="character" w:styleId="BesuchterHyperlink">
    <w:name w:val="FollowedHyperlink"/>
    <w:basedOn w:val="Absatz-Standardschriftart"/>
    <w:uiPriority w:val="99"/>
    <w:semiHidden/>
    <w:unhideWhenUsed/>
    <w:rsid w:val="00C704B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e.steampowered.com/app/222554/?snr=1_7_15__13" TargetMode="External"/><Relationship Id="rId13" Type="http://schemas.openxmlformats.org/officeDocument/2006/relationships/hyperlink" Target="http://store.steampowered.com/app/277736/"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rail-sim.de/wiki/index.php/Paket_Manager" TargetMode="External"/><Relationship Id="rId12" Type="http://schemas.openxmlformats.org/officeDocument/2006/relationships/hyperlink" Target="http://www.armstrongpowerhouse.com/index.php?route=product/product&amp;path=45&amp;product_id=116"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rail-sim.de/forum/index.php/Thread/13043-Szenarien-von-einMonster/?s=673b115bf125640298bfb073cc6d1948a741fe3e"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usttrains.net/product/standard-4mt-advance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yperlink" Target="http://www.justtrains.net/product/class-20-advanced-collectio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tore.steampowered.com/app/208298/?snr=1_7_15__13" TargetMode="External"/><Relationship Id="rId14" Type="http://schemas.openxmlformats.org/officeDocument/2006/relationships/image" Target="media/image1.jpeg"/><Relationship Id="rId22"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3103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2014-06-18T14:52:00Z</dcterms:created>
  <dcterms:modified xsi:type="dcterms:W3CDTF">2014-08-23T12:44:00Z</dcterms:modified>
</cp:coreProperties>
</file>